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9" w:rsidRDefault="00FE2419" w:rsidP="000B6D77">
      <w:pPr>
        <w:spacing w:after="20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Unit Overview</w:t>
      </w:r>
    </w:p>
    <w:p w:rsidR="00B259C9" w:rsidRDefault="00BF37D5" w:rsidP="000B6D77">
      <w:pPr>
        <w:spacing w:after="20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noProof/>
          <w:szCs w:val="24"/>
        </w:rPr>
        <w:drawing>
          <wp:inline distT="0" distB="0" distL="0" distR="0" wp14:anchorId="522ADAA1" wp14:editId="5112414E">
            <wp:extent cx="7594600" cy="473265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01" t="24281" r="14117" b="1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47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A2" w:rsidRDefault="001C61EB">
      <w:pPr>
        <w:spacing w:after="20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noProof/>
          <w:szCs w:val="24"/>
        </w:rPr>
        <w:t xml:space="preserve"> </w:t>
      </w:r>
    </w:p>
    <w:p w:rsidR="00C9796F" w:rsidRDefault="00C9796F">
      <w:pPr>
        <w:spacing w:after="20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MAIN IDEA: Interactions between systems affect their motion OR "Forces alter the motion of objects"</w:t>
      </w:r>
    </w:p>
    <w:p w:rsidR="008C1285" w:rsidRDefault="000B6D77" w:rsidP="008C1285">
      <w:pPr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Number Label (</w:t>
      </w:r>
      <w:r w:rsidRPr="000B6D77">
        <w:rPr>
          <w:rFonts w:ascii="Arial Black" w:eastAsia="Times New Roman" w:hAnsi="Arial Black" w:cs="TimesNewRomanPS-BoldMT"/>
          <w:b/>
          <w:bCs/>
          <w:szCs w:val="24"/>
          <w:vertAlign w:val="superscript"/>
        </w:rPr>
        <w:t>#</w:t>
      </w:r>
      <w:r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) on the left corner of the textbook indicates the Lesson number. </w:t>
      </w:r>
    </w:p>
    <w:p w:rsidR="008C1285" w:rsidRDefault="008C1285" w:rsidP="008C1285">
      <w:pPr>
        <w:rPr>
          <w:rFonts w:ascii="TimesNewRomanPS-BoldMT" w:eastAsia="Times New Roman" w:hAnsi="TimesNewRomanPS-BoldMT" w:cs="TimesNewRomanPS-BoldMT"/>
          <w:b/>
          <w:bCs/>
          <w:szCs w:val="24"/>
        </w:rPr>
      </w:pPr>
    </w:p>
    <w:p w:rsidR="008C1285" w:rsidRDefault="008C1285" w:rsidP="008C1285">
      <w:pPr>
        <w:rPr>
          <w:rFonts w:ascii="TimesNewRomanPS-BoldMT" w:eastAsia="Times New Roman" w:hAnsi="TimesNewRomanPS-BoldMT" w:cs="TimesNewRomanPS-BoldMT"/>
          <w:b/>
          <w:bCs/>
          <w:szCs w:val="24"/>
        </w:rPr>
      </w:pPr>
    </w:p>
    <w:p w:rsidR="008C1285" w:rsidRDefault="008C1285" w:rsidP="008C1285">
      <w:pPr>
        <w:rPr>
          <w:rFonts w:ascii="TimesNewRomanPS-BoldMT" w:eastAsia="Times New Roman" w:hAnsi="TimesNewRomanPS-BoldMT" w:cs="TimesNewRomanPS-BoldMT"/>
          <w:b/>
          <w:bCs/>
          <w:szCs w:val="24"/>
        </w:rPr>
      </w:pPr>
    </w:p>
    <w:p w:rsidR="008C1285" w:rsidRDefault="008C1285" w:rsidP="008C1285">
      <w:pPr>
        <w:rPr>
          <w:rFonts w:ascii="TimesNewRomanPS-BoldMT" w:eastAsia="Times New Roman" w:hAnsi="TimesNewRomanPS-BoldMT" w:cs="TimesNewRomanPS-BoldMT"/>
          <w:b/>
          <w:bCs/>
          <w:szCs w:val="24"/>
        </w:rPr>
      </w:pPr>
    </w:p>
    <w:p w:rsidR="008C1285" w:rsidRDefault="008C1285" w:rsidP="008C1285">
      <w:r>
        <w:lastRenderedPageBreak/>
        <w:t>Summative Assessment Grid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630"/>
        <w:gridCol w:w="1596"/>
        <w:gridCol w:w="1596"/>
        <w:gridCol w:w="1596"/>
      </w:tblGrid>
      <w:tr w:rsidR="008C1285" w:rsidTr="00EF5F45">
        <w:tc>
          <w:tcPr>
            <w:tcW w:w="1596" w:type="dxa"/>
          </w:tcPr>
          <w:p w:rsidR="008C1285" w:rsidRDefault="008C1285" w:rsidP="00EF5F45">
            <w:r>
              <w:t>Topic</w:t>
            </w:r>
          </w:p>
        </w:tc>
        <w:tc>
          <w:tcPr>
            <w:tcW w:w="1596" w:type="dxa"/>
          </w:tcPr>
          <w:p w:rsidR="008C1285" w:rsidRDefault="008C1285" w:rsidP="00EF5F45">
            <w:r>
              <w:t>Remembering</w:t>
            </w:r>
          </w:p>
          <w:p w:rsidR="008C1285" w:rsidRDefault="008C1285" w:rsidP="00EF5F45">
            <w:r>
              <w:t>(20%)</w:t>
            </w:r>
          </w:p>
        </w:tc>
        <w:tc>
          <w:tcPr>
            <w:tcW w:w="1630" w:type="dxa"/>
          </w:tcPr>
          <w:p w:rsidR="008C1285" w:rsidRDefault="008C1285" w:rsidP="00EF5F45">
            <w:r>
              <w:t>Understanding</w:t>
            </w:r>
          </w:p>
          <w:p w:rsidR="008C1285" w:rsidRDefault="008C1285" w:rsidP="00EF5F45">
            <w:r>
              <w:t>(20%)</w:t>
            </w:r>
          </w:p>
        </w:tc>
        <w:tc>
          <w:tcPr>
            <w:tcW w:w="1596" w:type="dxa"/>
          </w:tcPr>
          <w:p w:rsidR="008C1285" w:rsidRDefault="008C1285" w:rsidP="00EF5F45">
            <w:r>
              <w:t>Applying (30%)</w:t>
            </w:r>
          </w:p>
        </w:tc>
        <w:tc>
          <w:tcPr>
            <w:tcW w:w="1596" w:type="dxa"/>
          </w:tcPr>
          <w:p w:rsidR="008C1285" w:rsidRDefault="008C1285" w:rsidP="00EF5F45">
            <w:r>
              <w:t>Analyzing</w:t>
            </w:r>
          </w:p>
          <w:p w:rsidR="008C1285" w:rsidRDefault="008C1285" w:rsidP="00EF5F45">
            <w:r>
              <w:t>(30%)</w:t>
            </w:r>
          </w:p>
        </w:tc>
        <w:tc>
          <w:tcPr>
            <w:tcW w:w="1596" w:type="dxa"/>
          </w:tcPr>
          <w:p w:rsidR="008C1285" w:rsidRDefault="008C1285" w:rsidP="00EF5F45">
            <w:r>
              <w:t>Total</w:t>
            </w:r>
          </w:p>
        </w:tc>
      </w:tr>
      <w:tr w:rsidR="008C1285" w:rsidTr="00EF5F45">
        <w:tc>
          <w:tcPr>
            <w:tcW w:w="1596" w:type="dxa"/>
          </w:tcPr>
          <w:p w:rsidR="008C1285" w:rsidRDefault="008C1285" w:rsidP="00EF5F45">
            <w:r>
              <w:t xml:space="preserve">Forces </w:t>
            </w:r>
          </w:p>
          <w:p w:rsidR="008C1285" w:rsidRDefault="008C1285" w:rsidP="00EF5F45">
            <w:r>
              <w:t>(15%)</w:t>
            </w:r>
          </w:p>
        </w:tc>
        <w:tc>
          <w:tcPr>
            <w:tcW w:w="1596" w:type="dxa"/>
          </w:tcPr>
          <w:p w:rsidR="008C1285" w:rsidRDefault="008C1285" w:rsidP="00EF5F45">
            <w:r>
              <w:t>3</w:t>
            </w:r>
          </w:p>
        </w:tc>
        <w:tc>
          <w:tcPr>
            <w:tcW w:w="1630" w:type="dxa"/>
          </w:tcPr>
          <w:p w:rsidR="008C1285" w:rsidRDefault="008C1285" w:rsidP="00EF5F45">
            <w:r>
              <w:t>3</w:t>
            </w:r>
          </w:p>
        </w:tc>
        <w:tc>
          <w:tcPr>
            <w:tcW w:w="1596" w:type="dxa"/>
          </w:tcPr>
          <w:p w:rsidR="008C1285" w:rsidRDefault="008C1285" w:rsidP="00EF5F45">
            <w:r>
              <w:t>4.5</w:t>
            </w:r>
            <w:r w:rsidR="00EF5F45">
              <w:t xml:space="preserve"> (?)</w:t>
            </w:r>
          </w:p>
        </w:tc>
        <w:tc>
          <w:tcPr>
            <w:tcW w:w="1596" w:type="dxa"/>
          </w:tcPr>
          <w:p w:rsidR="008C1285" w:rsidRDefault="008C1285" w:rsidP="00EF5F45">
            <w:r>
              <w:t>4.5</w:t>
            </w:r>
          </w:p>
        </w:tc>
        <w:tc>
          <w:tcPr>
            <w:tcW w:w="1596" w:type="dxa"/>
          </w:tcPr>
          <w:p w:rsidR="008C1285" w:rsidRDefault="008C1285" w:rsidP="00EF5F45">
            <w:r>
              <w:t>15</w:t>
            </w:r>
          </w:p>
        </w:tc>
      </w:tr>
      <w:tr w:rsidR="008C1285" w:rsidTr="00EF5F45">
        <w:tc>
          <w:tcPr>
            <w:tcW w:w="1596" w:type="dxa"/>
          </w:tcPr>
          <w:p w:rsidR="008C1285" w:rsidRDefault="008C1285" w:rsidP="00EF5F45">
            <w:r>
              <w:t>Vectors (20%)</w:t>
            </w:r>
          </w:p>
        </w:tc>
        <w:tc>
          <w:tcPr>
            <w:tcW w:w="1596" w:type="dxa"/>
          </w:tcPr>
          <w:p w:rsidR="008C1285" w:rsidRDefault="008C1285" w:rsidP="00EF5F45">
            <w:r>
              <w:t>4</w:t>
            </w:r>
          </w:p>
        </w:tc>
        <w:tc>
          <w:tcPr>
            <w:tcW w:w="1630" w:type="dxa"/>
          </w:tcPr>
          <w:p w:rsidR="008C1285" w:rsidRDefault="008C1285" w:rsidP="00EF5F45">
            <w:r>
              <w:t>4</w:t>
            </w:r>
          </w:p>
        </w:tc>
        <w:tc>
          <w:tcPr>
            <w:tcW w:w="1596" w:type="dxa"/>
          </w:tcPr>
          <w:p w:rsidR="008C1285" w:rsidRDefault="008C1285" w:rsidP="00EF5F45">
            <w:r>
              <w:t>6</w:t>
            </w:r>
          </w:p>
        </w:tc>
        <w:tc>
          <w:tcPr>
            <w:tcW w:w="1596" w:type="dxa"/>
          </w:tcPr>
          <w:p w:rsidR="008C1285" w:rsidRDefault="008C1285" w:rsidP="00EF5F45">
            <w:r>
              <w:t>6</w:t>
            </w:r>
          </w:p>
        </w:tc>
        <w:tc>
          <w:tcPr>
            <w:tcW w:w="1596" w:type="dxa"/>
          </w:tcPr>
          <w:p w:rsidR="008C1285" w:rsidRDefault="008C1285" w:rsidP="00EF5F45">
            <w:r>
              <w:t>20</w:t>
            </w:r>
          </w:p>
        </w:tc>
      </w:tr>
      <w:tr w:rsidR="008C1285" w:rsidTr="00EF5F45">
        <w:tc>
          <w:tcPr>
            <w:tcW w:w="1596" w:type="dxa"/>
          </w:tcPr>
          <w:p w:rsidR="008C1285" w:rsidRDefault="008C1285" w:rsidP="00EF5F45">
            <w:r>
              <w:t>Newton’s 1</w:t>
            </w:r>
            <w:r w:rsidRPr="00833EDD">
              <w:rPr>
                <w:vertAlign w:val="superscript"/>
              </w:rPr>
              <w:t>st</w:t>
            </w:r>
            <w:r>
              <w:t xml:space="preserve"> Law (20%)</w:t>
            </w:r>
          </w:p>
        </w:tc>
        <w:tc>
          <w:tcPr>
            <w:tcW w:w="1596" w:type="dxa"/>
          </w:tcPr>
          <w:p w:rsidR="008C1285" w:rsidRDefault="008C1285" w:rsidP="00EF5F45">
            <w:r>
              <w:t>4</w:t>
            </w:r>
          </w:p>
        </w:tc>
        <w:tc>
          <w:tcPr>
            <w:tcW w:w="1630" w:type="dxa"/>
          </w:tcPr>
          <w:p w:rsidR="008C1285" w:rsidRDefault="008C1285" w:rsidP="00EF5F45">
            <w:r>
              <w:t>4</w:t>
            </w:r>
          </w:p>
        </w:tc>
        <w:tc>
          <w:tcPr>
            <w:tcW w:w="1596" w:type="dxa"/>
          </w:tcPr>
          <w:p w:rsidR="008C1285" w:rsidRDefault="008C1285" w:rsidP="00EF5F45">
            <w:r>
              <w:t>6</w:t>
            </w:r>
          </w:p>
        </w:tc>
        <w:tc>
          <w:tcPr>
            <w:tcW w:w="1596" w:type="dxa"/>
          </w:tcPr>
          <w:p w:rsidR="008C1285" w:rsidRDefault="008C1285" w:rsidP="00EF5F45">
            <w:r>
              <w:t>6</w:t>
            </w:r>
          </w:p>
        </w:tc>
        <w:tc>
          <w:tcPr>
            <w:tcW w:w="1596" w:type="dxa"/>
          </w:tcPr>
          <w:p w:rsidR="008C1285" w:rsidRDefault="008C1285" w:rsidP="00EF5F45">
            <w:r>
              <w:t>20</w:t>
            </w:r>
          </w:p>
        </w:tc>
      </w:tr>
      <w:tr w:rsidR="008C1285" w:rsidTr="00EF5F45">
        <w:tc>
          <w:tcPr>
            <w:tcW w:w="1596" w:type="dxa"/>
          </w:tcPr>
          <w:p w:rsidR="008C1285" w:rsidRDefault="008C1285" w:rsidP="00EF5F45">
            <w:r>
              <w:t>Newton’s 2</w:t>
            </w:r>
            <w:r w:rsidRPr="00833EDD">
              <w:rPr>
                <w:vertAlign w:val="superscript"/>
              </w:rPr>
              <w:t>nd</w:t>
            </w:r>
            <w:r>
              <w:t xml:space="preserve"> Law (30%)</w:t>
            </w:r>
          </w:p>
        </w:tc>
        <w:tc>
          <w:tcPr>
            <w:tcW w:w="1596" w:type="dxa"/>
          </w:tcPr>
          <w:p w:rsidR="008C1285" w:rsidRDefault="008C1285" w:rsidP="00EF5F45">
            <w:r>
              <w:t>6</w:t>
            </w:r>
          </w:p>
        </w:tc>
        <w:tc>
          <w:tcPr>
            <w:tcW w:w="1630" w:type="dxa"/>
          </w:tcPr>
          <w:p w:rsidR="008C1285" w:rsidRDefault="008C1285" w:rsidP="00EF5F45">
            <w:r>
              <w:t>6</w:t>
            </w:r>
          </w:p>
        </w:tc>
        <w:tc>
          <w:tcPr>
            <w:tcW w:w="1596" w:type="dxa"/>
          </w:tcPr>
          <w:p w:rsidR="008C1285" w:rsidRDefault="008C1285" w:rsidP="00EF5F45">
            <w:r>
              <w:t>9</w:t>
            </w:r>
          </w:p>
        </w:tc>
        <w:tc>
          <w:tcPr>
            <w:tcW w:w="1596" w:type="dxa"/>
          </w:tcPr>
          <w:p w:rsidR="008C1285" w:rsidRDefault="008C1285" w:rsidP="00EF5F45">
            <w:r>
              <w:t>9</w:t>
            </w:r>
          </w:p>
        </w:tc>
        <w:tc>
          <w:tcPr>
            <w:tcW w:w="1596" w:type="dxa"/>
          </w:tcPr>
          <w:p w:rsidR="008C1285" w:rsidRDefault="008C1285" w:rsidP="00EF5F45">
            <w:r>
              <w:t>30</w:t>
            </w:r>
          </w:p>
        </w:tc>
      </w:tr>
      <w:tr w:rsidR="008C1285" w:rsidTr="00EF5F45">
        <w:tc>
          <w:tcPr>
            <w:tcW w:w="1596" w:type="dxa"/>
          </w:tcPr>
          <w:p w:rsidR="008C1285" w:rsidRDefault="008C1285" w:rsidP="00EF5F45">
            <w:r>
              <w:t>Newton’s 3</w:t>
            </w:r>
            <w:r w:rsidRPr="00833EDD">
              <w:rPr>
                <w:vertAlign w:val="superscript"/>
              </w:rPr>
              <w:t>rd</w:t>
            </w:r>
            <w:r>
              <w:t xml:space="preserve"> Law (15%)</w:t>
            </w:r>
          </w:p>
        </w:tc>
        <w:tc>
          <w:tcPr>
            <w:tcW w:w="1596" w:type="dxa"/>
          </w:tcPr>
          <w:p w:rsidR="008C1285" w:rsidRDefault="008C1285" w:rsidP="00EF5F45">
            <w:r>
              <w:t>3</w:t>
            </w:r>
          </w:p>
        </w:tc>
        <w:tc>
          <w:tcPr>
            <w:tcW w:w="1630" w:type="dxa"/>
          </w:tcPr>
          <w:p w:rsidR="008C1285" w:rsidRDefault="008C1285" w:rsidP="00EF5F45">
            <w:r>
              <w:t>3</w:t>
            </w:r>
          </w:p>
        </w:tc>
        <w:tc>
          <w:tcPr>
            <w:tcW w:w="1596" w:type="dxa"/>
          </w:tcPr>
          <w:p w:rsidR="008C1285" w:rsidRDefault="008C1285" w:rsidP="00EF5F45">
            <w:r>
              <w:t>4.5</w:t>
            </w:r>
          </w:p>
        </w:tc>
        <w:tc>
          <w:tcPr>
            <w:tcW w:w="1596" w:type="dxa"/>
          </w:tcPr>
          <w:p w:rsidR="008C1285" w:rsidRDefault="008C1285" w:rsidP="00EF5F45">
            <w:r>
              <w:t>4.5</w:t>
            </w:r>
          </w:p>
        </w:tc>
        <w:tc>
          <w:tcPr>
            <w:tcW w:w="1596" w:type="dxa"/>
          </w:tcPr>
          <w:p w:rsidR="008C1285" w:rsidRDefault="008C1285" w:rsidP="00EF5F45">
            <w:r>
              <w:t>15</w:t>
            </w:r>
          </w:p>
        </w:tc>
      </w:tr>
      <w:tr w:rsidR="008C1285" w:rsidTr="00EF5F45">
        <w:tc>
          <w:tcPr>
            <w:tcW w:w="1596" w:type="dxa"/>
          </w:tcPr>
          <w:p w:rsidR="008C1285" w:rsidRDefault="008C1285" w:rsidP="00EF5F45">
            <w:r>
              <w:t>Subtotals</w:t>
            </w:r>
          </w:p>
        </w:tc>
        <w:tc>
          <w:tcPr>
            <w:tcW w:w="1596" w:type="dxa"/>
          </w:tcPr>
          <w:p w:rsidR="008C1285" w:rsidRDefault="008C1285" w:rsidP="00EF5F45">
            <w:r>
              <w:t>20</w:t>
            </w:r>
          </w:p>
        </w:tc>
        <w:tc>
          <w:tcPr>
            <w:tcW w:w="1630" w:type="dxa"/>
          </w:tcPr>
          <w:p w:rsidR="008C1285" w:rsidRDefault="008C1285" w:rsidP="00EF5F45">
            <w:r>
              <w:t>20</w:t>
            </w:r>
          </w:p>
        </w:tc>
        <w:tc>
          <w:tcPr>
            <w:tcW w:w="1596" w:type="dxa"/>
          </w:tcPr>
          <w:p w:rsidR="008C1285" w:rsidRDefault="008C1285" w:rsidP="00EF5F45">
            <w:r>
              <w:t>30</w:t>
            </w:r>
          </w:p>
        </w:tc>
        <w:tc>
          <w:tcPr>
            <w:tcW w:w="1596" w:type="dxa"/>
          </w:tcPr>
          <w:p w:rsidR="008C1285" w:rsidRDefault="008C1285" w:rsidP="00EF5F45">
            <w:r>
              <w:t>30</w:t>
            </w:r>
          </w:p>
        </w:tc>
        <w:tc>
          <w:tcPr>
            <w:tcW w:w="1596" w:type="dxa"/>
            <w:shd w:val="clear" w:color="auto" w:fill="BFBFBF"/>
          </w:tcPr>
          <w:p w:rsidR="008C1285" w:rsidRDefault="008C1285" w:rsidP="00EF5F45">
            <w:r>
              <w:t>*100*</w:t>
            </w:r>
          </w:p>
        </w:tc>
      </w:tr>
    </w:tbl>
    <w:p w:rsidR="000B6D77" w:rsidRDefault="000B6D77">
      <w:pPr>
        <w:spacing w:after="20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  <w:sectPr w:rsidR="000B6D77" w:rsidSect="00787A5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F4B72" w:rsidRDefault="007F4B72" w:rsidP="008F06FC">
      <w:pPr>
        <w:spacing w:after="20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lastRenderedPageBreak/>
        <w:t>Unit Objectives:</w:t>
      </w:r>
    </w:p>
    <w:p w:rsidR="007F4B72" w:rsidRDefault="007F4B72" w:rsidP="007F4B72">
      <w:pPr>
        <w:spacing w:after="20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By the end of this unit, the student will be able to:</w:t>
      </w:r>
    </w:p>
    <w:p w:rsidR="007F4B72" w:rsidRDefault="007F4B72" w:rsidP="00C00933">
      <w:pPr>
        <w:numPr>
          <w:ilvl w:val="0"/>
          <w:numId w:val="15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Define a force</w:t>
      </w:r>
    </w:p>
    <w:p w:rsidR="007F4B72" w:rsidRDefault="007F4B72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Identify types of forces acting on an object and their direction</w:t>
      </w:r>
    </w:p>
    <w:p w:rsidR="00CF780D" w:rsidRDefault="00CF780D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Distinguish weight from mass</w:t>
      </w:r>
    </w:p>
    <w:p w:rsidR="00CF780D" w:rsidRDefault="00CF780D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Calculate the weight of an object based on its mass.</w:t>
      </w:r>
    </w:p>
    <w:p w:rsidR="007F4B72" w:rsidRDefault="007F4B72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Calculate the net force acting on the object</w:t>
      </w:r>
    </w:p>
    <w:p w:rsidR="00D6002A" w:rsidRDefault="00D6002A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State Newton's 1st Law</w:t>
      </w:r>
    </w:p>
    <w:p w:rsidR="00D6002A" w:rsidRDefault="00D6002A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Create a graphical representation of the forces acting on an object</w:t>
      </w:r>
    </w:p>
    <w:p w:rsidR="00B11B7A" w:rsidRDefault="00B11B7A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Add vectors in 2-dimensions</w:t>
      </w:r>
    </w:p>
    <w:p w:rsidR="00B11B7A" w:rsidRDefault="00B11B7A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Decompose a 2-dimensional vector</w:t>
      </w:r>
    </w:p>
    <w:p w:rsidR="007F4B72" w:rsidRDefault="007F4B72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Identify the condition for translational equilibrium</w:t>
      </w:r>
    </w:p>
    <w:p w:rsidR="007F4B72" w:rsidRDefault="00B42317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Apply Newton's 1st Law to s</w:t>
      </w:r>
      <w:r w:rsidR="007F4B72"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olve for an unknown quantity (force, </w:t>
      </w:r>
      <w:r w:rsidR="007F4B72">
        <w:rPr>
          <w:rFonts w:ascii="Century Schoolbook" w:eastAsia="Times New Roman" w:hAnsi="Century Schoolbook" w:cs="TimesNewRomanPS-BoldMT"/>
          <w:b/>
          <w:bCs/>
          <w:szCs w:val="24"/>
        </w:rPr>
        <w:t>θ</w:t>
      </w:r>
      <w:r w:rsidR="007F4B72">
        <w:rPr>
          <w:rFonts w:ascii="TimesNewRomanPS-BoldMT" w:eastAsia="Times New Roman" w:hAnsi="TimesNewRomanPS-BoldMT" w:cs="TimesNewRomanPS-BoldMT"/>
          <w:b/>
          <w:bCs/>
          <w:szCs w:val="24"/>
        </w:rPr>
        <w:t>, mass) in a scenario of translational equilibrium</w:t>
      </w:r>
    </w:p>
    <w:p w:rsidR="007F4B72" w:rsidRDefault="007F4B72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 State Newton's 2nd Law</w:t>
      </w:r>
    </w:p>
    <w:p w:rsidR="00B11B7A" w:rsidRDefault="00B42317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Apply Newton's 2nd Law to s</w:t>
      </w:r>
      <w:r w:rsidR="00B11B7A" w:rsidRPr="00B11B7A"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olve for an unknown quantity (force, </w:t>
      </w:r>
      <w:r w:rsidR="00B11B7A" w:rsidRPr="00B11B7A">
        <w:rPr>
          <w:rFonts w:ascii="Century Schoolbook" w:eastAsia="Times New Roman" w:hAnsi="Century Schoolbook" w:cs="TimesNewRomanPS-BoldMT"/>
          <w:b/>
          <w:bCs/>
          <w:szCs w:val="24"/>
        </w:rPr>
        <w:t>θ</w:t>
      </w:r>
      <w:r w:rsidR="00B11B7A" w:rsidRPr="00B11B7A"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, acceleration, velocity (initial/final), time, </w:t>
      </w:r>
      <w:proofErr w:type="gramStart"/>
      <w:r w:rsidR="00B11B7A" w:rsidRPr="00B11B7A">
        <w:rPr>
          <w:rFonts w:ascii="TimesNewRomanPS-BoldMT" w:eastAsia="Times New Roman" w:hAnsi="TimesNewRomanPS-BoldMT" w:cs="TimesNewRomanPS-BoldMT"/>
          <w:b/>
          <w:bCs/>
          <w:szCs w:val="24"/>
        </w:rPr>
        <w:t>mass</w:t>
      </w:r>
      <w:proofErr w:type="gramEnd"/>
      <w:r w:rsidR="00B11B7A" w:rsidRPr="00B11B7A"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) in a scenario of </w:t>
      </w:r>
      <w:r w:rsidR="00B11B7A"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where a net force </w:t>
      </w:r>
      <w:r w:rsidR="00E97034">
        <w:rPr>
          <w:rFonts w:ascii="TimesNewRomanPS-BoldMT" w:eastAsia="Times New Roman" w:hAnsi="TimesNewRomanPS-BoldMT" w:cs="TimesNewRomanPS-BoldMT"/>
          <w:b/>
          <w:bCs/>
          <w:szCs w:val="24"/>
        </w:rPr>
        <w:t>i</w:t>
      </w:r>
      <w:r w:rsidR="00B11B7A">
        <w:rPr>
          <w:rFonts w:ascii="TimesNewRomanPS-BoldMT" w:eastAsia="Times New Roman" w:hAnsi="TimesNewRomanPS-BoldMT" w:cs="TimesNewRomanPS-BoldMT"/>
          <w:b/>
          <w:bCs/>
          <w:szCs w:val="24"/>
        </w:rPr>
        <w:t>s acting on the object</w:t>
      </w:r>
      <w:r w:rsidR="006E438A">
        <w:rPr>
          <w:rFonts w:ascii="TimesNewRomanPS-BoldMT" w:eastAsia="Times New Roman" w:hAnsi="TimesNewRomanPS-BoldMT" w:cs="TimesNewRomanPS-BoldMT"/>
          <w:b/>
          <w:bCs/>
          <w:szCs w:val="24"/>
        </w:rPr>
        <w:t>.</w:t>
      </w:r>
    </w:p>
    <w:p w:rsidR="006E438A" w:rsidRDefault="006E438A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Predict the motion of an object that is acted upon by a net force.</w:t>
      </w:r>
    </w:p>
    <w:p w:rsidR="007F4B72" w:rsidRPr="00B11B7A" w:rsidRDefault="00B11B7A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 w:rsidRPr="00B11B7A">
        <w:rPr>
          <w:rFonts w:ascii="TimesNewRomanPS-BoldMT" w:eastAsia="Times New Roman" w:hAnsi="TimesNewRomanPS-BoldMT" w:cs="TimesNewRomanPS-BoldMT"/>
          <w:b/>
          <w:bCs/>
          <w:szCs w:val="24"/>
        </w:rPr>
        <w:t>State Newton's 3rd law</w:t>
      </w:r>
    </w:p>
    <w:p w:rsidR="00B11B7A" w:rsidRDefault="00B11B7A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Identify pairs of interaction forces</w:t>
      </w:r>
    </w:p>
    <w:p w:rsidR="00B11B7A" w:rsidRDefault="00B11B7A" w:rsidP="00C00933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Distinguish the </w:t>
      </w:r>
      <w:r w:rsidR="006E438A">
        <w:rPr>
          <w:rFonts w:ascii="TimesNewRomanPS-BoldMT" w:eastAsia="Times New Roman" w:hAnsi="TimesNewRomanPS-BoldMT" w:cs="TimesNewRomanPS-BoldMT"/>
          <w:b/>
          <w:bCs/>
          <w:szCs w:val="24"/>
        </w:rPr>
        <w:t>effect</w:t>
      </w:r>
      <w:r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 of Newton's 3rd Law in the motion of Individual objects within the interaction pair. </w:t>
      </w:r>
    </w:p>
    <w:p w:rsidR="00B42317" w:rsidRDefault="007F4B72" w:rsidP="006F50F6">
      <w:pPr>
        <w:spacing w:after="120" w:line="276" w:lineRule="auto"/>
        <w:ind w:left="720"/>
        <w:rPr>
          <w:b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br w:type="page"/>
      </w:r>
    </w:p>
    <w:p w:rsidR="00B42317" w:rsidRDefault="00B42317" w:rsidP="00B42317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sz w:val="20"/>
        </w:rPr>
      </w:pPr>
    </w:p>
    <w:p w:rsidR="000B621B" w:rsidRPr="003A7AA9" w:rsidRDefault="000B621B" w:rsidP="000B621B">
      <w:pPr>
        <w:spacing w:after="200" w:line="276" w:lineRule="auto"/>
        <w:jc w:val="center"/>
        <w:rPr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>DAILY LESSON PLAN TEMPLATE</w:t>
      </w:r>
    </w:p>
    <w:p w:rsidR="000B621B" w:rsidRDefault="000B621B" w:rsidP="000B621B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24"/>
        </w:rPr>
      </w:pPr>
    </w:p>
    <w:p w:rsidR="000B621B" w:rsidRDefault="000B621B" w:rsidP="000B621B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Date:  Day </w:t>
      </w:r>
      <w:r w:rsidR="003001EA">
        <w:rPr>
          <w:rFonts w:ascii="TimesNewRomanPS-BoldMT" w:eastAsia="Times New Roman" w:hAnsi="TimesNewRomanPS-BoldMT" w:cs="TimesNewRomanPS-BoldMT"/>
          <w:b/>
          <w:bCs/>
          <w:szCs w:val="24"/>
        </w:rPr>
        <w:t>5</w:t>
      </w:r>
      <w:r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                              Subject: Applications of Newton's 1st Law</w:t>
      </w:r>
    </w:p>
    <w:p w:rsidR="000B621B" w:rsidRDefault="000B621B" w:rsidP="000B621B">
      <w:pPr>
        <w:rPr>
          <w:b/>
        </w:rPr>
      </w:pPr>
      <w:r>
        <w:rPr>
          <w:b/>
        </w:rPr>
        <w:t xml:space="preserve">Title: </w:t>
      </w:r>
      <w:r w:rsidR="007174B7">
        <w:rPr>
          <w:b/>
        </w:rPr>
        <w:t xml:space="preserve">The </w:t>
      </w:r>
      <w:r w:rsidR="00647723">
        <w:rPr>
          <w:b/>
        </w:rPr>
        <w:t>Moving Company</w:t>
      </w:r>
      <w:r>
        <w:rPr>
          <w:b/>
        </w:rPr>
        <w:t xml:space="preserve"> </w:t>
      </w:r>
    </w:p>
    <w:p w:rsidR="000B621B" w:rsidRDefault="00647723" w:rsidP="000B621B">
      <w:r>
        <w:t>For an object to remain at rest, all forces acting on it must be in equilibrium</w:t>
      </w:r>
      <w:r w:rsidR="000B621B">
        <w:t xml:space="preserve">.  </w:t>
      </w:r>
    </w:p>
    <w:p w:rsidR="000B621B" w:rsidRDefault="000B621B" w:rsidP="000B621B"/>
    <w:p w:rsidR="000B621B" w:rsidRDefault="000B621B" w:rsidP="000B621B">
      <w:pPr>
        <w:rPr>
          <w:b/>
        </w:rPr>
      </w:pPr>
      <w:r>
        <w:rPr>
          <w:b/>
        </w:rPr>
        <w:t>Grade Level</w:t>
      </w:r>
    </w:p>
    <w:p w:rsidR="000B621B" w:rsidRDefault="000B621B" w:rsidP="000B621B">
      <w:r>
        <w:t xml:space="preserve">High School </w:t>
      </w:r>
    </w:p>
    <w:p w:rsidR="000B621B" w:rsidRDefault="000B621B" w:rsidP="000B621B"/>
    <w:p w:rsidR="000B621B" w:rsidRDefault="000B621B" w:rsidP="000B621B">
      <w:r>
        <w:rPr>
          <w:b/>
        </w:rPr>
        <w:t>Virginia Standards of Learning</w:t>
      </w:r>
      <w:r>
        <w:t xml:space="preserve"> </w:t>
      </w:r>
    </w:p>
    <w:p w:rsidR="000B621B" w:rsidRDefault="000B621B" w:rsidP="000B621B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0B621B" w:rsidRDefault="000B621B" w:rsidP="000B621B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>
        <w:rPr>
          <w:rFonts w:ascii="TimesNewRoman,Bold" w:eastAsia="Calibri" w:hAnsi="TimesNewRoman,Bold" w:cs="TimesNewRoman,Bold"/>
          <w:b/>
          <w:bCs/>
          <w:sz w:val="28"/>
          <w:szCs w:val="28"/>
        </w:rPr>
        <w:t>Standard PH.2 a &amp; e</w:t>
      </w:r>
    </w:p>
    <w:p w:rsidR="000B621B" w:rsidRDefault="000B621B" w:rsidP="000B621B">
      <w:pPr>
        <w:autoSpaceDE w:val="0"/>
        <w:autoSpaceDN w:val="0"/>
        <w:adjustRightInd w:val="0"/>
        <w:rPr>
          <w:rFonts w:ascii="TimesNewRoman" w:eastAsia="Calibri" w:hAnsi="TimesNewRoman" w:cs="TimesNewRoman"/>
          <w:sz w:val="22"/>
          <w:szCs w:val="22"/>
        </w:rPr>
      </w:pPr>
      <w:r>
        <w:rPr>
          <w:rFonts w:ascii="TimesNewRoman" w:eastAsia="Calibri" w:hAnsi="TimesNewRoman" w:cs="TimesNewRoman"/>
          <w:sz w:val="22"/>
          <w:szCs w:val="22"/>
        </w:rPr>
        <w:t>The student will investigate and understand how to analyze and interpret data. Key concepts include:</w:t>
      </w:r>
    </w:p>
    <w:p w:rsidR="000B621B" w:rsidRDefault="000B621B" w:rsidP="000B621B">
      <w:pPr>
        <w:autoSpaceDE w:val="0"/>
        <w:autoSpaceDN w:val="0"/>
        <w:adjustRightInd w:val="0"/>
        <w:rPr>
          <w:rFonts w:ascii="TimesNewRoman" w:eastAsia="Calibri" w:hAnsi="TimesNewRoman" w:cs="TimesNewRoman"/>
          <w:sz w:val="22"/>
          <w:szCs w:val="22"/>
        </w:rPr>
      </w:pPr>
      <w:r>
        <w:rPr>
          <w:rFonts w:ascii="TimesNewRoman" w:eastAsia="Calibri" w:hAnsi="TimesNewRoman" w:cs="TimesNewRoman"/>
          <w:sz w:val="22"/>
          <w:szCs w:val="22"/>
        </w:rPr>
        <w:t xml:space="preserve">a) </w:t>
      </w:r>
      <w:proofErr w:type="gramStart"/>
      <w:r>
        <w:rPr>
          <w:rFonts w:ascii="TimesNewRoman" w:eastAsia="Calibri" w:hAnsi="TimesNewRoman" w:cs="TimesNewRoman"/>
          <w:sz w:val="22"/>
          <w:szCs w:val="22"/>
        </w:rPr>
        <w:t>a</w:t>
      </w:r>
      <w:proofErr w:type="gramEnd"/>
      <w:r>
        <w:rPr>
          <w:rFonts w:ascii="TimesNewRoman" w:eastAsia="Calibri" w:hAnsi="TimesNewRoman" w:cs="TimesNewRoman"/>
          <w:sz w:val="22"/>
          <w:szCs w:val="22"/>
        </w:rPr>
        <w:t xml:space="preserve"> description of a physical problem is translated into a mathematical statement in order to find</w:t>
      </w:r>
    </w:p>
    <w:p w:rsidR="000B621B" w:rsidRDefault="000B621B" w:rsidP="000B621B">
      <w:pPr>
        <w:autoSpaceDE w:val="0"/>
        <w:autoSpaceDN w:val="0"/>
        <w:adjustRightInd w:val="0"/>
        <w:rPr>
          <w:rFonts w:ascii="TimesNewRoman" w:eastAsia="Calibri" w:hAnsi="TimesNewRoman" w:cs="TimesNewRoman"/>
          <w:sz w:val="22"/>
          <w:szCs w:val="22"/>
        </w:rPr>
      </w:pPr>
      <w:proofErr w:type="gramStart"/>
      <w:r>
        <w:rPr>
          <w:rFonts w:ascii="TimesNewRoman" w:eastAsia="Calibri" w:hAnsi="TimesNewRoman" w:cs="TimesNewRoman"/>
          <w:sz w:val="22"/>
          <w:szCs w:val="22"/>
        </w:rPr>
        <w:t>a</w:t>
      </w:r>
      <w:proofErr w:type="gramEnd"/>
      <w:r>
        <w:rPr>
          <w:rFonts w:ascii="TimesNewRoman" w:eastAsia="Calibri" w:hAnsi="TimesNewRoman" w:cs="TimesNewRoman"/>
          <w:sz w:val="22"/>
          <w:szCs w:val="22"/>
        </w:rPr>
        <w:t xml:space="preserve"> solution; and</w:t>
      </w:r>
    </w:p>
    <w:p w:rsidR="000B621B" w:rsidRDefault="000B621B" w:rsidP="000B621B">
      <w:pPr>
        <w:autoSpaceDE w:val="0"/>
        <w:autoSpaceDN w:val="0"/>
        <w:adjustRightInd w:val="0"/>
        <w:rPr>
          <w:rFonts w:ascii="TimesNewRoman" w:eastAsia="Calibri" w:hAnsi="TimesNewRoman" w:cs="TimesNewRoman"/>
          <w:sz w:val="22"/>
          <w:szCs w:val="22"/>
        </w:rPr>
      </w:pPr>
      <w:r>
        <w:rPr>
          <w:rFonts w:ascii="TimesNewRoman" w:eastAsia="Calibri" w:hAnsi="TimesNewRoman" w:cs="TimesNewRoman"/>
          <w:sz w:val="22"/>
          <w:szCs w:val="22"/>
        </w:rPr>
        <w:t xml:space="preserve">e) </w:t>
      </w:r>
      <w:proofErr w:type="gramStart"/>
      <w:r>
        <w:rPr>
          <w:rFonts w:ascii="TimesNewRoman" w:eastAsia="Calibri" w:hAnsi="TimesNewRoman" w:cs="TimesNewRoman"/>
          <w:sz w:val="22"/>
          <w:szCs w:val="22"/>
        </w:rPr>
        <w:t>analysis</w:t>
      </w:r>
      <w:proofErr w:type="gramEnd"/>
      <w:r>
        <w:rPr>
          <w:rFonts w:ascii="TimesNewRoman" w:eastAsia="Calibri" w:hAnsi="TimesNewRoman" w:cs="TimesNewRoman"/>
          <w:sz w:val="22"/>
          <w:szCs w:val="22"/>
        </w:rPr>
        <w:t xml:space="preserve"> of systems employs vector quantities utilizing trigonometric and graphical methods.</w:t>
      </w:r>
    </w:p>
    <w:p w:rsidR="000B621B" w:rsidRDefault="000B621B" w:rsidP="000B621B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0B621B" w:rsidRDefault="000B621B" w:rsidP="000B621B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>
        <w:rPr>
          <w:rFonts w:ascii="TimesNewRoman,Bold" w:eastAsia="Calibri" w:hAnsi="TimesNewRoman,Bold" w:cs="TimesNewRoman,Bold"/>
          <w:b/>
          <w:bCs/>
          <w:sz w:val="28"/>
          <w:szCs w:val="28"/>
        </w:rPr>
        <w:t xml:space="preserve">Standard PH.4 a </w:t>
      </w:r>
    </w:p>
    <w:p w:rsidR="000B621B" w:rsidRDefault="000B621B" w:rsidP="000B621B">
      <w:pPr>
        <w:autoSpaceDE w:val="0"/>
        <w:autoSpaceDN w:val="0"/>
        <w:adjustRightInd w:val="0"/>
        <w:rPr>
          <w:rFonts w:ascii="TimesNewRoman" w:eastAsia="Calibri" w:hAnsi="TimesNewRoman" w:cs="TimesNewRoman"/>
          <w:szCs w:val="24"/>
        </w:rPr>
      </w:pPr>
      <w:r>
        <w:rPr>
          <w:rFonts w:ascii="TimesNewRoman" w:eastAsia="Calibri" w:hAnsi="TimesNewRoman" w:cs="TimesNewRoman"/>
          <w:szCs w:val="24"/>
        </w:rPr>
        <w:t>The student will investigate and understand how applications of physics affect the world. Key concepts include:</w:t>
      </w:r>
    </w:p>
    <w:p w:rsidR="000B621B" w:rsidRDefault="000B621B" w:rsidP="000B621B">
      <w:pPr>
        <w:numPr>
          <w:ilvl w:val="0"/>
          <w:numId w:val="17"/>
        </w:numPr>
        <w:autoSpaceDE w:val="0"/>
        <w:autoSpaceDN w:val="0"/>
        <w:adjustRightInd w:val="0"/>
        <w:rPr>
          <w:rFonts w:ascii="TimesNewRoman" w:eastAsia="Calibri" w:hAnsi="TimesNewRoman" w:cs="TimesNewRoman"/>
          <w:szCs w:val="24"/>
        </w:rPr>
      </w:pPr>
      <w:proofErr w:type="gramStart"/>
      <w:r>
        <w:rPr>
          <w:rFonts w:ascii="TimesNewRoman" w:eastAsia="Calibri" w:hAnsi="TimesNewRoman" w:cs="TimesNewRoman"/>
          <w:szCs w:val="24"/>
        </w:rPr>
        <w:t>examples</w:t>
      </w:r>
      <w:proofErr w:type="gramEnd"/>
      <w:r>
        <w:rPr>
          <w:rFonts w:ascii="TimesNewRoman" w:eastAsia="Calibri" w:hAnsi="TimesNewRoman" w:cs="TimesNewRoman"/>
          <w:szCs w:val="24"/>
        </w:rPr>
        <w:t xml:space="preserve"> from the real world.</w:t>
      </w:r>
    </w:p>
    <w:p w:rsidR="000B621B" w:rsidRPr="00EF1919" w:rsidRDefault="000B621B" w:rsidP="000B621B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szCs w:val="24"/>
        </w:rPr>
      </w:pPr>
    </w:p>
    <w:p w:rsidR="000B621B" w:rsidRDefault="000B621B" w:rsidP="000B621B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>
        <w:rPr>
          <w:rFonts w:ascii="TimesNewRoman,Bold" w:eastAsia="Calibri" w:hAnsi="TimesNewRoman,Bold" w:cs="TimesNewRoman,Bold"/>
          <w:b/>
          <w:bCs/>
          <w:sz w:val="28"/>
          <w:szCs w:val="28"/>
        </w:rPr>
        <w:t>Standard PH.5 d</w:t>
      </w:r>
    </w:p>
    <w:p w:rsidR="000B621B" w:rsidRDefault="000B621B" w:rsidP="000B621B">
      <w:pPr>
        <w:autoSpaceDE w:val="0"/>
        <w:autoSpaceDN w:val="0"/>
        <w:adjustRightInd w:val="0"/>
        <w:rPr>
          <w:rFonts w:ascii="TimesNewRoman" w:eastAsia="Calibri" w:hAnsi="TimesNewRoman" w:cs="TimesNewRoman"/>
          <w:szCs w:val="24"/>
        </w:rPr>
      </w:pPr>
      <w:r>
        <w:rPr>
          <w:rFonts w:ascii="TimesNewRoman" w:eastAsia="Calibri" w:hAnsi="TimesNewRoman" w:cs="TimesNewRoman"/>
          <w:szCs w:val="24"/>
        </w:rPr>
        <w:t>The student will investigate and understand the interrelationships among mass, distance, force, and time through mathematical and experimental processes. Key concepts include</w:t>
      </w:r>
    </w:p>
    <w:p w:rsidR="000B621B" w:rsidRDefault="000B621B" w:rsidP="000B621B">
      <w:pPr>
        <w:rPr>
          <w:rFonts w:ascii="TimesNewRoman" w:eastAsia="Calibri" w:hAnsi="TimesNewRoman" w:cs="TimesNewRoman"/>
          <w:szCs w:val="24"/>
        </w:rPr>
      </w:pPr>
      <w:r>
        <w:rPr>
          <w:rFonts w:ascii="TimesNewRoman" w:eastAsia="Calibri" w:hAnsi="TimesNewRoman" w:cs="TimesNewRoman"/>
          <w:szCs w:val="24"/>
        </w:rPr>
        <w:t>d) Newton’s laws of motion;</w:t>
      </w:r>
    </w:p>
    <w:p w:rsidR="000B621B" w:rsidRDefault="000B621B" w:rsidP="000B621B">
      <w:pPr>
        <w:rPr>
          <w:rFonts w:ascii="TimesNewRoman" w:eastAsia="Calibri" w:hAnsi="TimesNewRoman" w:cs="TimesNewRoman"/>
          <w:sz w:val="22"/>
          <w:szCs w:val="22"/>
        </w:rPr>
      </w:pPr>
    </w:p>
    <w:p w:rsidR="000B621B" w:rsidRDefault="000B621B" w:rsidP="000B621B">
      <w:pPr>
        <w:rPr>
          <w:b/>
        </w:rPr>
      </w:pPr>
    </w:p>
    <w:p w:rsidR="000B621B" w:rsidRDefault="000B621B" w:rsidP="000B621B">
      <w:pPr>
        <w:rPr>
          <w:b/>
        </w:rPr>
      </w:pPr>
      <w:r>
        <w:rPr>
          <w:b/>
        </w:rPr>
        <w:t>Objectives:</w:t>
      </w:r>
    </w:p>
    <w:p w:rsidR="000B621B" w:rsidRPr="0089583C" w:rsidRDefault="000B621B" w:rsidP="000B621B">
      <w:pPr>
        <w:rPr>
          <w:b/>
          <w:i/>
        </w:rPr>
      </w:pPr>
      <w:r w:rsidRPr="0089583C">
        <w:rPr>
          <w:b/>
          <w:i/>
        </w:rPr>
        <w:t>Science Content Objectives</w:t>
      </w:r>
    </w:p>
    <w:p w:rsidR="000B621B" w:rsidRDefault="000B621B" w:rsidP="000B621B"/>
    <w:p w:rsidR="000B621B" w:rsidRDefault="000B621B" w:rsidP="000B621B">
      <w:r>
        <w:t xml:space="preserve">A student will be able to: </w:t>
      </w:r>
    </w:p>
    <w:p w:rsidR="00156185" w:rsidRDefault="00156185" w:rsidP="00156185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lastRenderedPageBreak/>
        <w:t>Identify the condition for translational equilibrium</w:t>
      </w:r>
    </w:p>
    <w:p w:rsidR="00156185" w:rsidRDefault="00156185" w:rsidP="00156185">
      <w:pPr>
        <w:numPr>
          <w:ilvl w:val="0"/>
          <w:numId w:val="14"/>
        </w:numPr>
        <w:spacing w:after="120" w:line="276" w:lineRule="auto"/>
        <w:rPr>
          <w:rFonts w:ascii="TimesNewRomanPS-BoldMT" w:eastAsia="Times New Roman" w:hAnsi="TimesNewRomanPS-BoldMT" w:cs="TimesNewRomanPS-BoldMT"/>
          <w:b/>
          <w:bCs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Apply Newton's 1st Law to solve for an unknown quantity (force, </w:t>
      </w:r>
      <w:r>
        <w:rPr>
          <w:rFonts w:ascii="Century Schoolbook" w:eastAsia="Times New Roman" w:hAnsi="Century Schoolbook" w:cs="TimesNewRomanPS-BoldMT"/>
          <w:b/>
          <w:bCs/>
          <w:szCs w:val="24"/>
        </w:rPr>
        <w:t>θ</w:t>
      </w:r>
      <w:r>
        <w:rPr>
          <w:rFonts w:ascii="TimesNewRomanPS-BoldMT" w:eastAsia="Times New Roman" w:hAnsi="TimesNewRomanPS-BoldMT" w:cs="TimesNewRomanPS-BoldMT"/>
          <w:b/>
          <w:bCs/>
          <w:szCs w:val="24"/>
        </w:rPr>
        <w:t>, mass) in a scenario of translational equilibrium</w:t>
      </w:r>
    </w:p>
    <w:p w:rsidR="000B621B" w:rsidRDefault="000B621B" w:rsidP="000B621B">
      <w:pPr>
        <w:ind w:left="720"/>
      </w:pPr>
    </w:p>
    <w:p w:rsidR="000B621B" w:rsidRPr="0089583C" w:rsidRDefault="000B621B" w:rsidP="000B621B">
      <w:pPr>
        <w:rPr>
          <w:b/>
          <w:i/>
        </w:rPr>
      </w:pPr>
      <w:r w:rsidRPr="0089583C">
        <w:rPr>
          <w:b/>
          <w:i/>
        </w:rPr>
        <w:t>Nature of Science Objectives:</w:t>
      </w:r>
    </w:p>
    <w:p w:rsidR="000B621B" w:rsidRDefault="000B621B" w:rsidP="000B621B"/>
    <w:p w:rsidR="000B621B" w:rsidRDefault="000B621B" w:rsidP="000B621B">
      <w:r>
        <w:t>A student will be able to:</w:t>
      </w:r>
    </w:p>
    <w:p w:rsidR="000B621B" w:rsidRDefault="000B621B" w:rsidP="000B621B">
      <w:pPr>
        <w:numPr>
          <w:ilvl w:val="0"/>
          <w:numId w:val="10"/>
        </w:numPr>
      </w:pPr>
      <w:r>
        <w:t>Recognize that scientific laws are generalizations or universal relationships related to the way that some aspect of the natural world behaves under certain conditions.</w:t>
      </w:r>
    </w:p>
    <w:p w:rsidR="000B621B" w:rsidRPr="000C5721" w:rsidRDefault="000B621B" w:rsidP="000B621B"/>
    <w:p w:rsidR="000B621B" w:rsidRDefault="000B621B" w:rsidP="000B621B">
      <w:pPr>
        <w:rPr>
          <w:b/>
        </w:rPr>
      </w:pPr>
    </w:p>
    <w:p w:rsidR="000B621B" w:rsidRDefault="000B621B" w:rsidP="000B621B">
      <w:pPr>
        <w:rPr>
          <w:b/>
        </w:rPr>
      </w:pPr>
      <w:r>
        <w:rPr>
          <w:b/>
        </w:rPr>
        <w:t>Materials and Setup</w:t>
      </w:r>
    </w:p>
    <w:p w:rsidR="000B621B" w:rsidRDefault="000B621B" w:rsidP="000B621B"/>
    <w:p w:rsidR="000B621B" w:rsidRDefault="000B621B" w:rsidP="000B621B">
      <w:r>
        <w:t>List all materials needed to teach the lesson including:</w:t>
      </w:r>
    </w:p>
    <w:p w:rsidR="000B621B" w:rsidRDefault="002622C4" w:rsidP="006F50F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Stands</w:t>
      </w:r>
      <w:r w:rsidR="00766265">
        <w:rPr>
          <w:b/>
        </w:rPr>
        <w:t xml:space="preserve"> and connectors</w:t>
      </w:r>
    </w:p>
    <w:p w:rsidR="002622C4" w:rsidRDefault="002622C4" w:rsidP="006F50F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Pulleys</w:t>
      </w:r>
    </w:p>
    <w:p w:rsidR="002622C4" w:rsidRDefault="002622C4" w:rsidP="006F50F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Protractors</w:t>
      </w:r>
    </w:p>
    <w:p w:rsidR="002622C4" w:rsidRDefault="00E63ECD" w:rsidP="006F50F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Hangers and c</w:t>
      </w:r>
      <w:r w:rsidR="002622C4">
        <w:rPr>
          <w:b/>
        </w:rPr>
        <w:t>alibrated masses</w:t>
      </w:r>
    </w:p>
    <w:p w:rsidR="00766265" w:rsidRDefault="00766265" w:rsidP="006F50F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String or fishing line</w:t>
      </w:r>
    </w:p>
    <w:p w:rsidR="007174B7" w:rsidRPr="006F50F6" w:rsidRDefault="007174B7" w:rsidP="006F50F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Spring Scales</w:t>
      </w:r>
    </w:p>
    <w:p w:rsidR="000B621B" w:rsidRDefault="000B621B" w:rsidP="000B621B">
      <w:pPr>
        <w:rPr>
          <w:b/>
        </w:rPr>
      </w:pPr>
      <w:r>
        <w:rPr>
          <w:b/>
        </w:rPr>
        <w:t>Safety</w:t>
      </w:r>
    </w:p>
    <w:p w:rsidR="000B621B" w:rsidRDefault="000B621B" w:rsidP="000B621B">
      <w:r>
        <w:t xml:space="preserve">No special safety precautions are needed for this lesson. </w:t>
      </w:r>
    </w:p>
    <w:p w:rsidR="000B621B" w:rsidRDefault="000B621B" w:rsidP="000B621B"/>
    <w:p w:rsidR="000B621B" w:rsidRDefault="000B621B" w:rsidP="000B621B">
      <w:pPr>
        <w:rPr>
          <w:b/>
        </w:rPr>
      </w:pPr>
      <w:r>
        <w:rPr>
          <w:b/>
        </w:rPr>
        <w:t>Requisite Knowledge/skills for students</w:t>
      </w:r>
    </w:p>
    <w:p w:rsidR="000B621B" w:rsidRDefault="000B621B" w:rsidP="000B621B">
      <w:r>
        <w:t xml:space="preserve">Students will need to recognize that the </w:t>
      </w:r>
      <w:r w:rsidR="00156185">
        <w:t xml:space="preserve">forces are vector quantities and that apply the rules of direction for friction, tension and normal forces. </w:t>
      </w:r>
      <w:r w:rsidRPr="00BA3D62">
        <w:t xml:space="preserve">Students should also be familiar with </w:t>
      </w:r>
      <w:r w:rsidR="00156185">
        <w:t>vector decomposition</w:t>
      </w:r>
      <w:r w:rsidRPr="00BA3D62">
        <w:t xml:space="preserve">. </w:t>
      </w:r>
    </w:p>
    <w:p w:rsidR="000B621B" w:rsidRDefault="000B621B" w:rsidP="000B621B">
      <w:pPr>
        <w:rPr>
          <w:b/>
        </w:rPr>
      </w:pPr>
    </w:p>
    <w:p w:rsidR="000B621B" w:rsidRDefault="00D50833" w:rsidP="000B621B">
      <w:pPr>
        <w:rPr>
          <w:b/>
        </w:rPr>
      </w:pPr>
      <w:r>
        <w:rPr>
          <w:b/>
        </w:rPr>
        <w:t>Procedure:</w:t>
      </w:r>
    </w:p>
    <w:p w:rsidR="000B621B" w:rsidRDefault="000B621B" w:rsidP="000B621B"/>
    <w:p w:rsidR="000B621B" w:rsidRPr="00D50833" w:rsidRDefault="00647723" w:rsidP="000B621B">
      <w:proofErr w:type="spellStart"/>
      <w:r>
        <w:rPr>
          <w:u w:val="single"/>
        </w:rPr>
        <w:t>Engage</w:t>
      </w:r>
      <w:proofErr w:type="gramStart"/>
      <w:r w:rsidR="000B621B">
        <w:rPr>
          <w:u w:val="single"/>
        </w:rPr>
        <w:t>:</w:t>
      </w:r>
      <w:r w:rsidR="00D50833">
        <w:t>The</w:t>
      </w:r>
      <w:proofErr w:type="spellEnd"/>
      <w:proofErr w:type="gramEnd"/>
      <w:r w:rsidR="00D50833">
        <w:t xml:space="preserve"> group will be presented with a slideshow </w:t>
      </w:r>
      <w:r w:rsidR="001927AE">
        <w:t xml:space="preserve">with samples of force (free-body) diagrams. </w:t>
      </w:r>
      <w:r w:rsidR="008A22C5">
        <w:t>Using the stand, connectors and calibrated masses, they</w:t>
      </w:r>
      <w:r w:rsidR="00BF30D9">
        <w:t xml:space="preserve"> will be asked to build a model using a combination of forces, (i.e., tension, weight, normal force) that results in </w:t>
      </w:r>
      <w:r w:rsidR="00BF30D9">
        <w:lastRenderedPageBreak/>
        <w:t>the object remaining at rest.</w:t>
      </w:r>
      <w:r w:rsidR="008A22C5">
        <w:t xml:space="preserve"> The group will review Newton’s First Law and discuss how multiple forces are combined. They will visit the computer lab to explore further.</w:t>
      </w:r>
    </w:p>
    <w:p w:rsidR="00156185" w:rsidRDefault="00156185" w:rsidP="000B621B">
      <w:pPr>
        <w:rPr>
          <w:u w:val="single"/>
        </w:rPr>
      </w:pPr>
    </w:p>
    <w:p w:rsidR="00A45C6C" w:rsidRDefault="000B621B" w:rsidP="000B621B">
      <w:pPr>
        <w:rPr>
          <w:u w:val="single"/>
        </w:rPr>
      </w:pPr>
      <w:r>
        <w:rPr>
          <w:u w:val="single"/>
        </w:rPr>
        <w:t>Explore:</w:t>
      </w:r>
      <w:r w:rsidR="00A45C6C">
        <w:rPr>
          <w:u w:val="single"/>
        </w:rPr>
        <w:t xml:space="preserve"> </w:t>
      </w:r>
    </w:p>
    <w:p w:rsidR="000B621B" w:rsidRDefault="00A45C6C" w:rsidP="000B621B">
      <w:pPr>
        <w:rPr>
          <w:u w:val="single"/>
        </w:rPr>
      </w:pPr>
      <w:r>
        <w:rPr>
          <w:u w:val="single"/>
        </w:rPr>
        <w:t>PHET simulation: Forces &amp; Motion / Forces &amp; Motion with Ramp</w:t>
      </w:r>
    </w:p>
    <w:p w:rsidR="000B621B" w:rsidRDefault="00A45C6C" w:rsidP="000B621B">
      <w:r>
        <w:t xml:space="preserve">Students will simulate applying a force to an object on a surface with/without friction to compare the resulting net force and change in the motion. The will make observations of the conditions for moving at constant velocity.  </w:t>
      </w:r>
    </w:p>
    <w:p w:rsidR="004D72E9" w:rsidRDefault="004D72E9" w:rsidP="000B621B">
      <w:r>
        <w:t xml:space="preserve">Students will receive different worksheets depending on their level of content. </w:t>
      </w:r>
      <w:r w:rsidR="00C21A77">
        <w:t xml:space="preserve">Students that need reinforcement of types of forces will be working on scenarios without a ramp, and displaying only 2 forces in each direction. Students that have demonstrated understanding of the types of forces and vector decomposition will be working with scenarios that build up into adding a ramp and change the mass of the object to test the effect of increasing the friction. </w:t>
      </w:r>
    </w:p>
    <w:p w:rsidR="008A22C5" w:rsidRDefault="008A22C5" w:rsidP="000B621B">
      <w:pPr>
        <w:rPr>
          <w:u w:val="single"/>
        </w:rPr>
      </w:pPr>
    </w:p>
    <w:p w:rsidR="000B621B" w:rsidRPr="00DD4169" w:rsidRDefault="000B621B" w:rsidP="000B621B">
      <w:r>
        <w:rPr>
          <w:u w:val="single"/>
        </w:rPr>
        <w:t>Explain:</w:t>
      </w:r>
      <w:r w:rsidR="00DD4169">
        <w:t xml:space="preserve"> The group will discuss patte</w:t>
      </w:r>
      <w:r w:rsidR="008A22C5">
        <w:t>rns in the motion of the object, such as which forces act against each othe</w:t>
      </w:r>
      <w:r w:rsidR="00C21A77">
        <w:t>r</w:t>
      </w:r>
      <w:bookmarkStart w:id="0" w:name="_GoBack"/>
      <w:bookmarkEnd w:id="0"/>
      <w:r w:rsidR="008A22C5">
        <w:t xml:space="preserve">, which are tied to a specific object, which require a person to interact with the object, etc. The goal is for them to explore as many combinations of forces as possible. </w:t>
      </w:r>
    </w:p>
    <w:p w:rsidR="000B621B" w:rsidRPr="00E37C9C" w:rsidRDefault="000B621B" w:rsidP="000B621B"/>
    <w:p w:rsidR="000B621B" w:rsidRDefault="000B621B" w:rsidP="000B621B">
      <w:pPr>
        <w:rPr>
          <w:u w:val="single"/>
        </w:rPr>
      </w:pPr>
      <w:r>
        <w:rPr>
          <w:u w:val="single"/>
        </w:rPr>
        <w:t>Elaborate (Apply, Extend):</w:t>
      </w:r>
    </w:p>
    <w:p w:rsidR="00DD4169" w:rsidRPr="00A45C6C" w:rsidRDefault="00DD4169" w:rsidP="00DD4169">
      <w:r w:rsidRPr="00A45C6C">
        <w:t>Based on their observations, the</w:t>
      </w:r>
      <w:r>
        <w:t xml:space="preserve"> students w</w:t>
      </w:r>
      <w:r w:rsidRPr="00A45C6C">
        <w:t xml:space="preserve">ill make predictions for </w:t>
      </w:r>
      <w:r>
        <w:t xml:space="preserve">the motion resulting on the </w:t>
      </w:r>
      <w:r w:rsidRPr="00A45C6C">
        <w:t xml:space="preserve">force acting on objects of different masses. </w:t>
      </w:r>
      <w:r w:rsidR="008A22C5">
        <w:t>They will trade prediction slips with a partner and test each other’s predictions.</w:t>
      </w:r>
    </w:p>
    <w:p w:rsidR="00DD4169" w:rsidRPr="00A45C6C" w:rsidRDefault="00DD4169" w:rsidP="00DD4169"/>
    <w:p w:rsidR="00156185" w:rsidRDefault="00156185" w:rsidP="000B621B">
      <w:pPr>
        <w:rPr>
          <w:u w:val="single"/>
        </w:rPr>
      </w:pPr>
    </w:p>
    <w:p w:rsidR="000B621B" w:rsidRDefault="000B621B" w:rsidP="000B621B">
      <w:r>
        <w:rPr>
          <w:u w:val="single"/>
        </w:rPr>
        <w:t>Evaluate:</w:t>
      </w:r>
      <w:r w:rsidR="00DD4169" w:rsidRPr="00DD4169">
        <w:t xml:space="preserve"> The student will create a free body diagram for 2 situations where the object remains at rest, </w:t>
      </w:r>
      <w:r w:rsidR="008A22C5">
        <w:t xml:space="preserve">solving for the unknown force, </w:t>
      </w:r>
      <w:r w:rsidR="00DD4169" w:rsidRPr="00DD4169">
        <w:t xml:space="preserve">and </w:t>
      </w:r>
      <w:r w:rsidR="008A22C5">
        <w:t xml:space="preserve">free body diagrams for </w:t>
      </w:r>
      <w:r w:rsidR="00DD4169" w:rsidRPr="00DD4169">
        <w:t>2 situations where the object travels at constant velocity</w:t>
      </w:r>
      <w:r w:rsidR="008A22C5">
        <w:t>, solving for the unknown force</w:t>
      </w:r>
      <w:r w:rsidR="00DD4169" w:rsidRPr="00DD4169">
        <w:t xml:space="preserve">. </w:t>
      </w:r>
      <w:r w:rsidR="00DD4169">
        <w:t xml:space="preserve">Forces must be labeled to show </w:t>
      </w:r>
      <w:r w:rsidR="008A22C5">
        <w:t xml:space="preserve">the type of force, along with its </w:t>
      </w:r>
      <w:r w:rsidR="00DD4169">
        <w:t>magnitude and direction of the force vector.</w:t>
      </w:r>
    </w:p>
    <w:p w:rsidR="00DD4169" w:rsidRDefault="00DD4169" w:rsidP="000B621B">
      <w:pPr>
        <w:rPr>
          <w:u w:val="single"/>
        </w:rPr>
      </w:pPr>
    </w:p>
    <w:p w:rsidR="000B621B" w:rsidRDefault="000B621B" w:rsidP="000B621B">
      <w:pPr>
        <w:rPr>
          <w:b/>
        </w:rPr>
      </w:pPr>
      <w:r>
        <w:rPr>
          <w:b/>
        </w:rPr>
        <w:t>References</w:t>
      </w:r>
    </w:p>
    <w:p w:rsidR="000B621B" w:rsidRDefault="00A45C6C" w:rsidP="000B621B">
      <w:pPr>
        <w:autoSpaceDE w:val="0"/>
        <w:autoSpaceDN w:val="0"/>
        <w:adjustRightInd w:val="0"/>
      </w:pPr>
      <w:r>
        <w:t xml:space="preserve">Simulation accessed on February 29 at: </w:t>
      </w:r>
      <w:hyperlink r:id="rId8" w:history="1">
        <w:r>
          <w:rPr>
            <w:rStyle w:val="Hyperlink"/>
          </w:rPr>
          <w:t>http://phet.colorado.edu/en/simulation/ramp-forces-and-motion</w:t>
        </w:r>
      </w:hyperlink>
    </w:p>
    <w:p w:rsidR="000B621B" w:rsidRDefault="006771AA" w:rsidP="000B621B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sz w:val="20"/>
        </w:rPr>
      </w:pPr>
      <w:r>
        <w:t xml:space="preserve">Free body diagram presentation accessed on February 29 at: </w:t>
      </w:r>
      <w:hyperlink r:id="rId9" w:history="1">
        <w:r>
          <w:rPr>
            <w:rStyle w:val="Hyperlink"/>
          </w:rPr>
          <w:t>http://www.wisc-online.com/Objects/ViewObject.aspx?ID=TP1502</w:t>
        </w:r>
      </w:hyperlink>
      <w:r w:rsidR="000B621B">
        <w:br w:type="page"/>
      </w:r>
    </w:p>
    <w:p w:rsidR="000B621B" w:rsidRDefault="000B621B" w:rsidP="000B621B"/>
    <w:p w:rsidR="000B621B" w:rsidRDefault="000B621B" w:rsidP="000B621B"/>
    <w:p w:rsidR="000B621B" w:rsidRDefault="000B621B" w:rsidP="000B621B">
      <w:r>
        <w:t>Placeholder (Lesson Plans 5-10)</w:t>
      </w:r>
    </w:p>
    <w:p w:rsidR="00B42317" w:rsidRDefault="00B42317" w:rsidP="00B42317"/>
    <w:p w:rsidR="00B7783C" w:rsidRDefault="00FE2934" w:rsidP="00B42317">
      <w:r>
        <w:t>Save for later:</w:t>
      </w:r>
    </w:p>
    <w:p w:rsidR="00FE2934" w:rsidRDefault="00FE2934" w:rsidP="00B42317">
      <w:r>
        <w:t xml:space="preserve">Using graphs to explain motion: </w:t>
      </w:r>
      <w:hyperlink r:id="rId10" w:history="1">
        <w:r>
          <w:rPr>
            <w:rStyle w:val="Hyperlink"/>
          </w:rPr>
          <w:t>http://www.wisc-online.com/Objects/ViewObject.aspx?ID=TP1101</w:t>
        </w:r>
      </w:hyperlink>
    </w:p>
    <w:p w:rsidR="00EA31A8" w:rsidRDefault="00EA31A8" w:rsidP="0033393A"/>
    <w:sectPr w:rsidR="00EA31A8" w:rsidSect="00333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FF"/>
    <w:multiLevelType w:val="hybridMultilevel"/>
    <w:tmpl w:val="48D221AA"/>
    <w:lvl w:ilvl="0" w:tplc="52C0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82605"/>
    <w:multiLevelType w:val="hybridMultilevel"/>
    <w:tmpl w:val="86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A81"/>
    <w:multiLevelType w:val="hybridMultilevel"/>
    <w:tmpl w:val="A54AA0C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22BD709C"/>
    <w:multiLevelType w:val="hybridMultilevel"/>
    <w:tmpl w:val="A24A6126"/>
    <w:lvl w:ilvl="0" w:tplc="52C0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12EAB"/>
    <w:multiLevelType w:val="hybridMultilevel"/>
    <w:tmpl w:val="240A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F2E5E"/>
    <w:multiLevelType w:val="hybridMultilevel"/>
    <w:tmpl w:val="14E6F7F0"/>
    <w:lvl w:ilvl="0" w:tplc="52C0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D77D0"/>
    <w:multiLevelType w:val="hybridMultilevel"/>
    <w:tmpl w:val="908CC150"/>
    <w:lvl w:ilvl="0" w:tplc="52C0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D1D80"/>
    <w:multiLevelType w:val="hybridMultilevel"/>
    <w:tmpl w:val="F26E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6508B"/>
    <w:multiLevelType w:val="hybridMultilevel"/>
    <w:tmpl w:val="65C6CC90"/>
    <w:lvl w:ilvl="0" w:tplc="62CECD6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57047"/>
    <w:multiLevelType w:val="hybridMultilevel"/>
    <w:tmpl w:val="4BE6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A549A"/>
    <w:multiLevelType w:val="hybridMultilevel"/>
    <w:tmpl w:val="DDEC4A76"/>
    <w:lvl w:ilvl="0" w:tplc="52C0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16961"/>
    <w:multiLevelType w:val="hybridMultilevel"/>
    <w:tmpl w:val="0DF00A22"/>
    <w:lvl w:ilvl="0" w:tplc="52C0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703F1"/>
    <w:multiLevelType w:val="hybridMultilevel"/>
    <w:tmpl w:val="D52EDCEC"/>
    <w:lvl w:ilvl="0" w:tplc="62CECD6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65280"/>
    <w:multiLevelType w:val="hybridMultilevel"/>
    <w:tmpl w:val="A168A1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A6AFA"/>
    <w:multiLevelType w:val="hybridMultilevel"/>
    <w:tmpl w:val="D77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92728"/>
    <w:multiLevelType w:val="hybridMultilevel"/>
    <w:tmpl w:val="050E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C06D0"/>
    <w:multiLevelType w:val="hybridMultilevel"/>
    <w:tmpl w:val="8FE279D8"/>
    <w:lvl w:ilvl="0" w:tplc="62CECD6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56C56"/>
    <w:multiLevelType w:val="hybridMultilevel"/>
    <w:tmpl w:val="B7CCA488"/>
    <w:lvl w:ilvl="0" w:tplc="52C0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251A"/>
    <w:multiLevelType w:val="hybridMultilevel"/>
    <w:tmpl w:val="033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97F37"/>
    <w:multiLevelType w:val="hybridMultilevel"/>
    <w:tmpl w:val="BCB4F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9"/>
  </w:num>
  <w:num w:numId="18">
    <w:abstractNumId w:val="4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19"/>
    <w:rsid w:val="00000E27"/>
    <w:rsid w:val="000135A8"/>
    <w:rsid w:val="00024C4D"/>
    <w:rsid w:val="00033FEA"/>
    <w:rsid w:val="000342FC"/>
    <w:rsid w:val="00055CEF"/>
    <w:rsid w:val="00062ADE"/>
    <w:rsid w:val="00077E37"/>
    <w:rsid w:val="00094A61"/>
    <w:rsid w:val="000B1F99"/>
    <w:rsid w:val="000B621B"/>
    <w:rsid w:val="000B6D77"/>
    <w:rsid w:val="000C0B9D"/>
    <w:rsid w:val="000C5721"/>
    <w:rsid w:val="000F5282"/>
    <w:rsid w:val="00106483"/>
    <w:rsid w:val="0012378A"/>
    <w:rsid w:val="00140677"/>
    <w:rsid w:val="00156185"/>
    <w:rsid w:val="00157D2B"/>
    <w:rsid w:val="0017547E"/>
    <w:rsid w:val="001927AE"/>
    <w:rsid w:val="00192B06"/>
    <w:rsid w:val="001A357F"/>
    <w:rsid w:val="001A7369"/>
    <w:rsid w:val="001B7D7B"/>
    <w:rsid w:val="001C0F0E"/>
    <w:rsid w:val="001C61EB"/>
    <w:rsid w:val="001E1E95"/>
    <w:rsid w:val="00201F22"/>
    <w:rsid w:val="00260006"/>
    <w:rsid w:val="002622C4"/>
    <w:rsid w:val="00273640"/>
    <w:rsid w:val="00280AA0"/>
    <w:rsid w:val="002A11CD"/>
    <w:rsid w:val="002B1C5B"/>
    <w:rsid w:val="002F0B59"/>
    <w:rsid w:val="003001EA"/>
    <w:rsid w:val="0033393A"/>
    <w:rsid w:val="00372273"/>
    <w:rsid w:val="00373C1D"/>
    <w:rsid w:val="003A04E4"/>
    <w:rsid w:val="003A5AFA"/>
    <w:rsid w:val="003D7303"/>
    <w:rsid w:val="003E53DF"/>
    <w:rsid w:val="00420722"/>
    <w:rsid w:val="004329C0"/>
    <w:rsid w:val="00457613"/>
    <w:rsid w:val="00483705"/>
    <w:rsid w:val="004B3774"/>
    <w:rsid w:val="004B3A75"/>
    <w:rsid w:val="004D0170"/>
    <w:rsid w:val="004D4588"/>
    <w:rsid w:val="004D72E9"/>
    <w:rsid w:val="004F559E"/>
    <w:rsid w:val="0051111E"/>
    <w:rsid w:val="00513E04"/>
    <w:rsid w:val="00530D2B"/>
    <w:rsid w:val="00530DAC"/>
    <w:rsid w:val="00540311"/>
    <w:rsid w:val="005B2CA6"/>
    <w:rsid w:val="005D65C7"/>
    <w:rsid w:val="005F46F0"/>
    <w:rsid w:val="0061553B"/>
    <w:rsid w:val="00647723"/>
    <w:rsid w:val="0065408C"/>
    <w:rsid w:val="00655861"/>
    <w:rsid w:val="00665CFA"/>
    <w:rsid w:val="0066770F"/>
    <w:rsid w:val="00671080"/>
    <w:rsid w:val="006771AA"/>
    <w:rsid w:val="006865CF"/>
    <w:rsid w:val="006C6AE1"/>
    <w:rsid w:val="006D0896"/>
    <w:rsid w:val="006D154D"/>
    <w:rsid w:val="006E438A"/>
    <w:rsid w:val="006F50F6"/>
    <w:rsid w:val="00701CF4"/>
    <w:rsid w:val="007174B7"/>
    <w:rsid w:val="00722E11"/>
    <w:rsid w:val="00733A0D"/>
    <w:rsid w:val="007407B8"/>
    <w:rsid w:val="00747045"/>
    <w:rsid w:val="007517B8"/>
    <w:rsid w:val="00753067"/>
    <w:rsid w:val="007601D3"/>
    <w:rsid w:val="00766265"/>
    <w:rsid w:val="00786233"/>
    <w:rsid w:val="007869C3"/>
    <w:rsid w:val="00787A59"/>
    <w:rsid w:val="007932DD"/>
    <w:rsid w:val="007E082B"/>
    <w:rsid w:val="007F4B72"/>
    <w:rsid w:val="00803829"/>
    <w:rsid w:val="00807D73"/>
    <w:rsid w:val="0082434E"/>
    <w:rsid w:val="00833BF6"/>
    <w:rsid w:val="00833EDD"/>
    <w:rsid w:val="008413B4"/>
    <w:rsid w:val="00857954"/>
    <w:rsid w:val="008A22C5"/>
    <w:rsid w:val="008A30FB"/>
    <w:rsid w:val="008B580E"/>
    <w:rsid w:val="008B5C80"/>
    <w:rsid w:val="008C1285"/>
    <w:rsid w:val="008C3C5B"/>
    <w:rsid w:val="008C737C"/>
    <w:rsid w:val="008D4318"/>
    <w:rsid w:val="008D5A3D"/>
    <w:rsid w:val="008F0205"/>
    <w:rsid w:val="008F06FC"/>
    <w:rsid w:val="009123A6"/>
    <w:rsid w:val="009300EE"/>
    <w:rsid w:val="00930DAB"/>
    <w:rsid w:val="00934476"/>
    <w:rsid w:val="00940275"/>
    <w:rsid w:val="009561ED"/>
    <w:rsid w:val="0096757D"/>
    <w:rsid w:val="00974E6B"/>
    <w:rsid w:val="00995895"/>
    <w:rsid w:val="009A27A5"/>
    <w:rsid w:val="009B6C10"/>
    <w:rsid w:val="009C756F"/>
    <w:rsid w:val="009F66BE"/>
    <w:rsid w:val="00A100AD"/>
    <w:rsid w:val="00A13AA2"/>
    <w:rsid w:val="00A2286B"/>
    <w:rsid w:val="00A459D0"/>
    <w:rsid w:val="00A45C6C"/>
    <w:rsid w:val="00A7648E"/>
    <w:rsid w:val="00AB3614"/>
    <w:rsid w:val="00AB6919"/>
    <w:rsid w:val="00AF4DB6"/>
    <w:rsid w:val="00AF5E66"/>
    <w:rsid w:val="00B06944"/>
    <w:rsid w:val="00B11B7A"/>
    <w:rsid w:val="00B15D3E"/>
    <w:rsid w:val="00B259C9"/>
    <w:rsid w:val="00B31F9A"/>
    <w:rsid w:val="00B332FA"/>
    <w:rsid w:val="00B37620"/>
    <w:rsid w:val="00B42317"/>
    <w:rsid w:val="00B56524"/>
    <w:rsid w:val="00B61890"/>
    <w:rsid w:val="00B7783C"/>
    <w:rsid w:val="00BA3D62"/>
    <w:rsid w:val="00BB76D5"/>
    <w:rsid w:val="00BE41AA"/>
    <w:rsid w:val="00BF30D9"/>
    <w:rsid w:val="00BF37D5"/>
    <w:rsid w:val="00C00933"/>
    <w:rsid w:val="00C21A77"/>
    <w:rsid w:val="00C370D6"/>
    <w:rsid w:val="00C417C7"/>
    <w:rsid w:val="00C505EC"/>
    <w:rsid w:val="00C72088"/>
    <w:rsid w:val="00C9796F"/>
    <w:rsid w:val="00CA25C7"/>
    <w:rsid w:val="00CA5773"/>
    <w:rsid w:val="00CB2872"/>
    <w:rsid w:val="00CB4168"/>
    <w:rsid w:val="00CC0730"/>
    <w:rsid w:val="00CD3314"/>
    <w:rsid w:val="00CE51EA"/>
    <w:rsid w:val="00CF780D"/>
    <w:rsid w:val="00D05F11"/>
    <w:rsid w:val="00D3213C"/>
    <w:rsid w:val="00D50833"/>
    <w:rsid w:val="00D6002A"/>
    <w:rsid w:val="00D94E74"/>
    <w:rsid w:val="00DA3F04"/>
    <w:rsid w:val="00DA66D7"/>
    <w:rsid w:val="00DD4169"/>
    <w:rsid w:val="00DE0E00"/>
    <w:rsid w:val="00E071C8"/>
    <w:rsid w:val="00E37C9C"/>
    <w:rsid w:val="00E44979"/>
    <w:rsid w:val="00E54B1F"/>
    <w:rsid w:val="00E636A2"/>
    <w:rsid w:val="00E63ECD"/>
    <w:rsid w:val="00E65EE2"/>
    <w:rsid w:val="00E82CD6"/>
    <w:rsid w:val="00E92A17"/>
    <w:rsid w:val="00E956BE"/>
    <w:rsid w:val="00E97034"/>
    <w:rsid w:val="00EA31A8"/>
    <w:rsid w:val="00EB12D9"/>
    <w:rsid w:val="00EC08B5"/>
    <w:rsid w:val="00EC1FCD"/>
    <w:rsid w:val="00ED1DE8"/>
    <w:rsid w:val="00EF1919"/>
    <w:rsid w:val="00EF5F45"/>
    <w:rsid w:val="00F03343"/>
    <w:rsid w:val="00F21F3C"/>
    <w:rsid w:val="00F223FB"/>
    <w:rsid w:val="00F224F2"/>
    <w:rsid w:val="00F671D8"/>
    <w:rsid w:val="00F74C3B"/>
    <w:rsid w:val="00F76F98"/>
    <w:rsid w:val="00F874D1"/>
    <w:rsid w:val="00FB34AB"/>
    <w:rsid w:val="00FC1A8D"/>
    <w:rsid w:val="00FE2419"/>
    <w:rsid w:val="00FE2934"/>
    <w:rsid w:val="00FE4306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1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E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2419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1D8"/>
    <w:rPr>
      <w:color w:val="0000FF"/>
      <w:u w:val="single"/>
    </w:rPr>
  </w:style>
  <w:style w:type="table" w:styleId="TableGrid">
    <w:name w:val="Table Grid"/>
    <w:basedOn w:val="TableNormal"/>
    <w:uiPriority w:val="59"/>
    <w:rsid w:val="00EA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D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95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95"/>
    <w:rPr>
      <w:rFonts w:ascii="Times" w:eastAsia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1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E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2419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1D8"/>
    <w:rPr>
      <w:color w:val="0000FF"/>
      <w:u w:val="single"/>
    </w:rPr>
  </w:style>
  <w:style w:type="table" w:styleId="TableGrid">
    <w:name w:val="Table Grid"/>
    <w:basedOn w:val="TableNormal"/>
    <w:uiPriority w:val="59"/>
    <w:rsid w:val="00EA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D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95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95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ramp-forces-and-mo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isc-online.com/Objects/ViewObject.aspx?ID=TP1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sc-online.com/Objects/ViewObject.aspx?ID=TP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562F-2B29-45FC-A25F-7AB9C842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6241</CharactersWithSpaces>
  <SharedDoc>false</SharedDoc>
  <HLinks>
    <vt:vector size="36" baseType="variant"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http://phet.colorado.edu/en/simulation/ramp-forces-and-motion</vt:lpwstr>
      </vt:variant>
      <vt:variant>
        <vt:lpwstr/>
      </vt:variant>
      <vt:variant>
        <vt:i4>2490470</vt:i4>
      </vt:variant>
      <vt:variant>
        <vt:i4>21</vt:i4>
      </vt:variant>
      <vt:variant>
        <vt:i4>0</vt:i4>
      </vt:variant>
      <vt:variant>
        <vt:i4>5</vt:i4>
      </vt:variant>
      <vt:variant>
        <vt:lpwstr>https://schoolweb.dysart.org/TeacherSites/uploads/6719/Intergrated Science/I.S.10.1/03  Mass and Weight.pdf</vt:lpwstr>
      </vt:variant>
      <vt:variant>
        <vt:lpwstr/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http://www.wisc-online.com/Objects/ViewObject.aspx?ID=tp1402</vt:lpwstr>
      </vt:variant>
      <vt:variant>
        <vt:lpwstr/>
      </vt:variant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http://www.dryiceinfo.com/safe.htm</vt:lpwstr>
      </vt:variant>
      <vt:variant>
        <vt:lpwstr/>
      </vt:variant>
      <vt:variant>
        <vt:i4>6160486</vt:i4>
      </vt:variant>
      <vt:variant>
        <vt:i4>12</vt:i4>
      </vt:variant>
      <vt:variant>
        <vt:i4>0</vt:i4>
      </vt:variant>
      <vt:variant>
        <vt:i4>5</vt:i4>
      </vt:variant>
      <vt:variant>
        <vt:lpwstr>http://www.nasa.gov/audience/foreducators/topnav/materials/listbytype/The_Law_of_Inertia.html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http://noschese180.posterous.com/day-52-dereks-three-incorrect-laws-of-motion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M. De Jesus</dc:creator>
  <cp:lastModifiedBy>Lydia</cp:lastModifiedBy>
  <cp:revision>10</cp:revision>
  <dcterms:created xsi:type="dcterms:W3CDTF">2012-04-02T15:14:00Z</dcterms:created>
  <dcterms:modified xsi:type="dcterms:W3CDTF">2012-04-03T23:38:00Z</dcterms:modified>
</cp:coreProperties>
</file>